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PREMIAÇÃO DE PONTOS E PONTÕES DE CULTURA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01 - CATEGORIAS E COTAS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CATEGORIAS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presente premiação será distribuída em duas categorias, sendo elas divididas em relação à natureza do grupo e/ou coletivo; ou entidade contemplada, com a seguinte distribuição:</w:t>
      </w:r>
    </w:p>
    <w:tbl>
      <w:tblPr>
        <w:tblStyle w:val="Table1"/>
        <w:tblW w:w="92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11"/>
        <w:gridCol w:w="2311"/>
        <w:gridCol w:w="2311"/>
        <w:gridCol w:w="2312"/>
        <w:tblGridChange w:id="0">
          <w:tblGrid>
            <w:gridCol w:w="2311"/>
            <w:gridCol w:w="2311"/>
            <w:gridCol w:w="2311"/>
            <w:gridCol w:w="23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E DESCRIÇÃO DA CATEGORIA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 VAGAS PARA CATEGORIA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 DISPONÍVEL POR PROJETO SELECIONADO (R$)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Coletivos/grupos sem constituição jurídica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Entidades com constituição jurídica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righ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0"/>
              </w:tabs>
              <w:spacing w:after="12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R$ 120.000,00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COTAS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atribuição de cotas seguirá o disposto na Instrução Normativa MinC nº 10, de 28 de dezembro de 2023.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 agentes culturais que optarem por concorrer às cotas concorrerão concomitantemente às vagas destinadas à ampla concorrência, de acordo com a sua classificação no processo.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 agentes culturais que optarem pelas cotas e atingirem nota suficiente para se classificar no número de vagas oferecidas para ampla concorrência não ocuparão as vagas destinadas para o preenchimento das cotas.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falta de candidatos aptos em número suficiente para o cumprimento das cotas, a vaga será destinada à ampla concorrência.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caso de desistência de optantes aprovados nas cotas, a vaga não preenchida deverá ser ocupada por pessoa que concorreu às cotas de acordo com a ordem de classificação.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caso de não existirem propostas aptas em número suficiente para o cumprimento de uma das categorias de cotas previstas na seleção, o número de vagas restantes deverá ser destinado inicialmente para a outra categoria de cotas.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Caso não haja outra categoria de cotas de que trata o parágrafo acima, as vagas não preenchidas deverão ser direcionadas para a ampla concorrência, sendo os demais candidatos selecionados de acordo com a ordem de classificação.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concorrer às cotas, os agentes culturais deverão autodeclarar-se no ato de inscrição, conforme modelos constantes nos Anexos 6 e 7. A autodeclaração poderá ser apresentada por escrito, em vídeo, em Libras, ou em outros formatos acessíveis. A autodeclaração do agente cultural goza de presunção de veracidade, podendo a Comissão de Seleção adotar procedimentos complementares, conforme Instrução Normativa MinC nº 10, de 28 de dezembro de 2023.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distribuição das vagas seguirá as diretrizes abaixo:</w:t>
      </w:r>
    </w:p>
    <w:tbl>
      <w:tblPr>
        <w:tblStyle w:val="Table2"/>
        <w:tblW w:w="818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28"/>
        <w:gridCol w:w="4252"/>
        <w:tblGridChange w:id="0">
          <w:tblGrid>
            <w:gridCol w:w="3928"/>
            <w:gridCol w:w="4252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 VAGAS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Pessoas negras (pretas ou pardas)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Pessoas indígenas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Pessoas com deficiência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cotas mínimas para pessoas negras (pretas ou pardas), pessoas indígenas e pessoas com deficiência seguem o previsto no Capítulo II da Instrução Normativa MinC nº 10, de 28 de dezembro de 2023, que dispõe sobre as regras e os procedimentos para implementação das ações afirmativas e medidas de acessibilidade de que trata o Decreto nº 11.740, de 18 de outubro de 2023, que regulamenta a Lei nº 14.399, de 08 de julho de 2022, a qual institui a Política Nacional Aldir Blanc de Fomento à Cultura.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4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731200" cy="68580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  <w:rsid w:val="00EE45BF"/>
  </w:style>
  <w:style w:type="paragraph" w:styleId="Ttulo1">
    <w:name w:val="heading 1"/>
    <w:basedOn w:val="normal0"/>
    <w:next w:val="normal0"/>
    <w:rsid w:val="00713C8E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713C8E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713C8E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713C8E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713C8E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713C8E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713C8E"/>
  </w:style>
  <w:style w:type="table" w:styleId="TableNormal" w:customStyle="1">
    <w:name w:val="Table Normal"/>
    <w:rsid w:val="00713C8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713C8E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713C8E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rsid w:val="00713C8E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rsid w:val="00713C8E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Cabealho">
    <w:name w:val="header"/>
    <w:basedOn w:val="Normal"/>
    <w:link w:val="CabealhoChar"/>
    <w:uiPriority w:val="99"/>
    <w:semiHidden w:val="1"/>
    <w:unhideWhenUsed w:val="1"/>
    <w:rsid w:val="00A72A1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semiHidden w:val="1"/>
    <w:rsid w:val="00A72A10"/>
  </w:style>
  <w:style w:type="paragraph" w:styleId="Rodap">
    <w:name w:val="footer"/>
    <w:basedOn w:val="Normal"/>
    <w:link w:val="RodapChar"/>
    <w:uiPriority w:val="99"/>
    <w:unhideWhenUsed w:val="1"/>
    <w:rsid w:val="00A72A1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72A10"/>
  </w:style>
  <w:style w:type="table" w:styleId="Tabelacomgrade">
    <w:name w:val="Table Grid"/>
    <w:basedOn w:val="Tabelanormal"/>
    <w:uiPriority w:val="59"/>
    <w:rsid w:val="00BE3C11"/>
    <w:pPr>
      <w:spacing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C65iDlL6odG+Jg8njpZEQl/e3Q==">CgMxLjA4AHIhMVdva284LUdDcjhBNk52TTJUNWJTVXh2a3A1cmtUMDZ0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2024-09-18T20:12:00Z</dcterms:created>
  <dc:creator>Wesley Silva Campos</dc:creator>
</cp:coreProperties>
</file>